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6C364D" w:rsidRDefault="00DE33CE" w:rsidP="00656285">
      <w:pPr>
        <w:widowControl w:val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666384"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сентябр</w:t>
      </w:r>
      <w:r w:rsidR="002C7620"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е</w:t>
      </w:r>
      <w:r w:rsidR="00D74D82"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2022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A2233C" w:rsidRDefault="00CA2C4C" w:rsidP="00A2233C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63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</w:t>
      </w:r>
      <w:r w:rsidR="002C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цены на потребительском рынке: </w:t>
      </w:r>
    </w:p>
    <w:p w:rsidR="00CA2C4C" w:rsidRDefault="00CA2C4C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63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августу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 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снизились на 0,1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C87" w:rsidRDefault="00D74D82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2022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 декабрю 2021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увеличились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465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,9</w:t>
      </w:r>
      <w:r w:rsidR="005F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ED77AB">
      <w:pPr>
        <w:widowControl w:val="0"/>
        <w:shd w:val="clear" w:color="auto" w:fill="FFFFFF"/>
        <w:spacing w:after="0" w:line="28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6663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</w:t>
      </w:r>
      <w:r w:rsidR="005F6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2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увеличились </w:t>
      </w:r>
      <w:r w:rsidR="00142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465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,6</w:t>
      </w:r>
      <w:r w:rsidR="002C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</w:p>
    <w:p w:rsidR="00627AE4" w:rsidRPr="00B37DEA" w:rsidRDefault="00627AE4" w:rsidP="00864493">
      <w:pPr>
        <w:widowControl w:val="0"/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3CE" w:rsidRPr="006C364D" w:rsidRDefault="00DE33CE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товары и услуги</w:t>
      </w:r>
    </w:p>
    <w:p w:rsidR="00627AE4" w:rsidRPr="00627AE4" w:rsidRDefault="00627AE4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color w:val="215968"/>
          <w:sz w:val="20"/>
          <w:szCs w:val="20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309"/>
        <w:gridCol w:w="2142"/>
        <w:gridCol w:w="1824"/>
        <w:gridCol w:w="2184"/>
      </w:tblGrid>
      <w:tr w:rsidR="00FF08F1" w:rsidRPr="00993C93" w:rsidTr="00864493">
        <w:trPr>
          <w:trHeight w:val="20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FF08F1" w:rsidRPr="006D366C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FF08F1" w:rsidRPr="006D366C" w:rsidRDefault="00666384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Сентябрь</w:t>
            </w:r>
            <w:r w:rsidR="00D74D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</w:t>
            </w:r>
            <w:proofErr w:type="gramStart"/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 к</w:t>
            </w:r>
          </w:p>
        </w:tc>
      </w:tr>
      <w:tr w:rsidR="00FF08F1" w:rsidRPr="00993C93" w:rsidTr="00864493">
        <w:trPr>
          <w:trHeight w:val="2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FF08F1" w:rsidRPr="00993C93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FF08F1" w:rsidRDefault="00666384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августу</w:t>
            </w:r>
          </w:p>
          <w:p w:rsidR="00FF08F1" w:rsidRPr="006D366C" w:rsidRDefault="00D74D82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FF08F1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FF08F1" w:rsidRDefault="00D74D82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FF08F1" w:rsidRDefault="00666384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сентябрю</w:t>
            </w:r>
          </w:p>
          <w:p w:rsidR="00FF08F1" w:rsidRPr="006D366C" w:rsidRDefault="00D74D82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FF0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653FE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1653FE" w:rsidRPr="00CA2C4C" w:rsidRDefault="001653FE" w:rsidP="00864493">
            <w:pPr>
              <w:widowControl w:val="0"/>
              <w:spacing w:line="280" w:lineRule="exact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2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044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113,6</w:t>
            </w:r>
          </w:p>
        </w:tc>
      </w:tr>
      <w:tr w:rsidR="001653FE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1653FE" w:rsidRPr="007D0435" w:rsidRDefault="001653FE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72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044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115,3</w:t>
            </w:r>
          </w:p>
        </w:tc>
      </w:tr>
      <w:tr w:rsidR="001653FE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1653FE" w:rsidRPr="007D0435" w:rsidRDefault="001653FE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872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044" w:type="pct"/>
            <w:vAlign w:val="center"/>
          </w:tcPr>
          <w:p w:rsidR="001653FE" w:rsidRPr="001653FE" w:rsidRDefault="00D465E2" w:rsidP="00864493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666384" w:rsidRPr="00993C93" w:rsidTr="00864493">
        <w:trPr>
          <w:trHeight w:val="20"/>
          <w:jc w:val="center"/>
        </w:trPr>
        <w:tc>
          <w:tcPr>
            <w:tcW w:w="2060" w:type="pct"/>
            <w:vAlign w:val="bottom"/>
          </w:tcPr>
          <w:p w:rsidR="00666384" w:rsidRPr="007D0435" w:rsidRDefault="00666384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666384" w:rsidRPr="00666384" w:rsidRDefault="00D465E2" w:rsidP="00666384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2" w:type="pct"/>
            <w:vAlign w:val="center"/>
          </w:tcPr>
          <w:p w:rsidR="00666384" w:rsidRPr="00666384" w:rsidRDefault="00D465E2" w:rsidP="00666384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044" w:type="pct"/>
            <w:vAlign w:val="center"/>
          </w:tcPr>
          <w:p w:rsidR="00666384" w:rsidRPr="00666384" w:rsidRDefault="00D465E2" w:rsidP="00666384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111,8</w:t>
            </w:r>
          </w:p>
        </w:tc>
      </w:tr>
    </w:tbl>
    <w:p w:rsidR="006D366C" w:rsidRPr="00424660" w:rsidRDefault="006D366C" w:rsidP="00864493">
      <w:pPr>
        <w:widowControl w:val="0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E55" w:rsidRPr="007B0E55" w:rsidRDefault="007B0E55" w:rsidP="00864493">
      <w:pPr>
        <w:pStyle w:val="a3"/>
        <w:widowControl w:val="0"/>
        <w:spacing w:line="260" w:lineRule="exact"/>
        <w:rPr>
          <w:rFonts w:ascii="Arial" w:hAnsi="Arial" w:cs="Arial"/>
          <w:color w:val="000000"/>
          <w:sz w:val="24"/>
          <w:szCs w:val="24"/>
        </w:rPr>
      </w:pPr>
      <w:r w:rsidRPr="004E6793">
        <w:rPr>
          <w:rFonts w:ascii="Arial" w:hAnsi="Arial" w:cs="Arial"/>
          <w:color w:val="000000"/>
          <w:sz w:val="24"/>
          <w:szCs w:val="24"/>
        </w:rPr>
        <w:t xml:space="preserve">Сводный индекс потребительских цен в Красноярском крае в </w:t>
      </w:r>
      <w:r w:rsidR="007635F7" w:rsidRPr="004E6793">
        <w:rPr>
          <w:rFonts w:ascii="Arial" w:hAnsi="Arial" w:cs="Arial"/>
          <w:color w:val="000000"/>
          <w:sz w:val="24"/>
          <w:szCs w:val="24"/>
        </w:rPr>
        <w:t>сентябр</w:t>
      </w:r>
      <w:r w:rsidR="000D6153" w:rsidRPr="004E6793">
        <w:rPr>
          <w:rFonts w:ascii="Arial" w:hAnsi="Arial" w:cs="Arial"/>
          <w:color w:val="000000"/>
          <w:sz w:val="24"/>
          <w:szCs w:val="24"/>
        </w:rPr>
        <w:t>е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D74D82" w:rsidRPr="004E6793">
        <w:rPr>
          <w:rFonts w:ascii="Arial" w:hAnsi="Arial" w:cs="Arial"/>
          <w:color w:val="000000"/>
          <w:sz w:val="24"/>
          <w:szCs w:val="24"/>
        </w:rPr>
        <w:t>2022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4E6793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по отношению к предыдущему месяцу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сложился 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на уровн</w:t>
      </w:r>
      <w:r w:rsidR="004E6793">
        <w:rPr>
          <w:rFonts w:ascii="Arial" w:hAnsi="Arial" w:cs="Arial"/>
          <w:color w:val="000000"/>
          <w:sz w:val="24"/>
          <w:szCs w:val="24"/>
        </w:rPr>
        <w:t>е 99,9 процента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(в сентябре </w:t>
      </w:r>
      <w:r w:rsidR="00A2233C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2021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– 100,</w:t>
      </w:r>
      <w:r w:rsidR="004E6793">
        <w:rPr>
          <w:rFonts w:ascii="Arial" w:hAnsi="Arial" w:cs="Arial"/>
          <w:color w:val="000000"/>
          <w:sz w:val="24"/>
          <w:szCs w:val="24"/>
        </w:rPr>
        <w:t>6 процента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)</w:t>
      </w:r>
      <w:r w:rsidRPr="004E6793">
        <w:rPr>
          <w:rFonts w:ascii="Arial" w:hAnsi="Arial" w:cs="Arial"/>
          <w:color w:val="000000"/>
          <w:sz w:val="24"/>
          <w:szCs w:val="24"/>
        </w:rPr>
        <w:t>.</w:t>
      </w:r>
    </w:p>
    <w:p w:rsidR="009A17A0" w:rsidRPr="008A15FF" w:rsidRDefault="009A17A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17A0" w:rsidRPr="006C364D" w:rsidRDefault="009A17A0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все товары и услуги по Красноярскому краю</w:t>
      </w:r>
    </w:p>
    <w:p w:rsidR="009A17A0" w:rsidRPr="006C364D" w:rsidRDefault="00544D66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(в процентах к предыдущему месяцу</w:t>
      </w:r>
      <w:r w:rsidR="009A17A0" w:rsidRPr="006C364D">
        <w:rPr>
          <w:rFonts w:ascii="Arial" w:hAnsi="Arial" w:cs="Arial"/>
          <w:color w:val="365F91" w:themeColor="accent1" w:themeShade="BF"/>
          <w:sz w:val="24"/>
          <w:szCs w:val="24"/>
        </w:rPr>
        <w:t>)</w:t>
      </w:r>
    </w:p>
    <w:p w:rsidR="002C7620" w:rsidRPr="00A75ED1" w:rsidRDefault="002C7620" w:rsidP="009A17A0">
      <w:pPr>
        <w:pStyle w:val="a5"/>
        <w:widowControl w:val="0"/>
        <w:spacing w:line="240" w:lineRule="auto"/>
        <w:rPr>
          <w:rFonts w:ascii="Arial" w:hAnsi="Arial" w:cs="Arial"/>
          <w:bCs/>
          <w:color w:val="215968"/>
          <w:sz w:val="24"/>
          <w:szCs w:val="24"/>
        </w:rPr>
      </w:pPr>
      <w:r w:rsidRPr="002C7620">
        <w:rPr>
          <w:rFonts w:ascii="Arial" w:hAnsi="Arial" w:cs="Arial"/>
          <w:bCs/>
          <w:noProof/>
          <w:color w:val="215968"/>
          <w:sz w:val="24"/>
          <w:szCs w:val="24"/>
        </w:rPr>
        <w:drawing>
          <wp:inline distT="0" distB="0" distL="0" distR="0">
            <wp:extent cx="6051479" cy="2455523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7A0" w:rsidRPr="00BA4E6D" w:rsidRDefault="009A17A0" w:rsidP="009A17A0">
      <w:pPr>
        <w:pStyle w:val="a3"/>
        <w:widowControl w:val="0"/>
        <w:spacing w:line="276" w:lineRule="auto"/>
        <w:ind w:firstLine="0"/>
        <w:jc w:val="center"/>
        <w:rPr>
          <w:rFonts w:eastAsiaTheme="minorHAnsi"/>
          <w:b/>
          <w:color w:val="365F91" w:themeColor="accent1" w:themeShade="BF"/>
          <w:szCs w:val="28"/>
          <w:lang w:eastAsia="en-US"/>
        </w:rPr>
      </w:pPr>
    </w:p>
    <w:p w:rsidR="00247223" w:rsidRDefault="009A17A0" w:rsidP="00305D20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В </w:t>
      </w:r>
      <w:r w:rsidR="00305D20">
        <w:rPr>
          <w:rFonts w:ascii="Arial" w:hAnsi="Arial" w:cs="Arial"/>
          <w:b/>
          <w:color w:val="365F91" w:themeColor="accent1" w:themeShade="BF"/>
          <w:sz w:val="24"/>
          <w:szCs w:val="24"/>
        </w:rPr>
        <w:t>сентябр</w:t>
      </w:r>
      <w:r w:rsidR="00655A96"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е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2022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(по отношению к </w:t>
      </w:r>
      <w:r w:rsidR="00305D20">
        <w:rPr>
          <w:rFonts w:ascii="Arial" w:hAnsi="Arial" w:cs="Arial"/>
          <w:b/>
          <w:color w:val="365F91" w:themeColor="accent1" w:themeShade="BF"/>
          <w:sz w:val="24"/>
          <w:szCs w:val="24"/>
        </w:rPr>
        <w:t>августу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2022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 среди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продовольственных товаров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2472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снижение цен наблюдалось </w:t>
      </w:r>
      <w:r w:rsidR="0024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54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B541E8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 репчатый</w:t>
      </w:r>
      <w:r w:rsidR="00B541E8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B54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35,7 процента</w:t>
      </w:r>
      <w:r w:rsidR="00B541E8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морковь</w:t>
      </w:r>
      <w:r w:rsidR="00B1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28,1, свёклу столовую – на 22,9, в</w:t>
      </w:r>
      <w:r w:rsidR="00DA58B4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иноград </w:t>
      </w:r>
      <w:r w:rsidR="00DA58B4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14,6, 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D530B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артофель</w:t>
      </w:r>
      <w:r w:rsidR="00B54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2472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13,5</w:t>
      </w:r>
      <w:r w:rsidR="0024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A58B4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блоки </w:t>
      </w:r>
      <w:r w:rsidR="00DA58B4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8B4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13,4, груши – на 11,5, 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D530B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FD530B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белокочанн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FD530B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305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72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305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5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72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9,5</w:t>
      </w:r>
      <w:r w:rsidR="004D3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472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лимоны</w:t>
      </w:r>
      <w:r w:rsidR="00FD530B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9,2</w:t>
      </w:r>
      <w:r w:rsidR="00305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чеснок</w:t>
      </w:r>
      <w:r w:rsidR="00FD530B" w:rsidRP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6,9</w:t>
      </w:r>
      <w:r w:rsidR="00305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помидоры свежие</w:t>
      </w:r>
      <w:r w:rsidR="00D93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6,4</w:t>
      </w:r>
      <w:r w:rsidR="00FD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сухофрукты – на 5,5</w:t>
      </w:r>
      <w:proofErr w:type="gramEnd"/>
      <w:r w:rsidR="00B1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</w:t>
      </w:r>
      <w:r w:rsidR="00025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асло оливковое – на 4,1, колбасу вареную</w:t>
      </w:r>
      <w:r w:rsidR="00DA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B12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3,9</w:t>
      </w:r>
      <w:r w:rsidR="00D933BB" w:rsidRPr="00D93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72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процента.</w:t>
      </w:r>
    </w:p>
    <w:p w:rsidR="009A17A0" w:rsidRDefault="004D341D" w:rsidP="00247223">
      <w:pPr>
        <w:widowControl w:val="0"/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Значительный</w:t>
      </w:r>
      <w:r w:rsidR="009A17A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 цен наблюдался на </w:t>
      </w:r>
      <w:r w:rsidR="00EE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E7F7E" w:rsidRPr="00EE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гурцы свежие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9A17A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61,1</w:t>
      </w:r>
      <w:r w:rsidR="00BA6EB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3D080B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A6EB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бананы</w:t>
      </w:r>
      <w:r w:rsidR="00EE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17A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BA6EB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10,9</w:t>
      </w:r>
      <w:r w:rsidR="00152545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 куриные</w:t>
      </w:r>
      <w:r w:rsidR="00AC3E57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2545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124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E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</w:t>
      </w:r>
      <w:r w:rsidR="002E2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25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ыбу живую и охлажденную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мёд пчелиный натуральный и с</w:t>
      </w:r>
      <w:r w:rsidR="00950F74" w:rsidRP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меси сухие молочные для детского питания</w:t>
      </w:r>
      <w:r w:rsidR="00AC3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82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равной степени</w:t>
      </w:r>
      <w:r w:rsidR="002E282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5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E2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5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3,8</w:t>
      </w:r>
      <w:r w:rsidR="00EE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00B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1C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0054" w:rsidRDefault="009A17A0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В группе непродовольственных товаров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рассматриваемый период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всего по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дорожали</w:t>
      </w:r>
      <w:r w:rsidR="00DA5D6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трикотажный головной убор женский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D036B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12,5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</w:t>
      </w:r>
      <w:r w:rsidR="00DA5D6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Дротаверин</w:t>
      </w:r>
      <w:proofErr w:type="spellEnd"/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(Но-шпа)»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7,5</w:t>
      </w:r>
      <w:r w:rsidR="001C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 для волос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6,9</w:t>
      </w:r>
      <w:r w:rsidR="00A50A4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перчатки из натуральной кожи</w:t>
      </w:r>
      <w:r w:rsidR="001C7D33" w:rsidRPr="00260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7D3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1C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6,8</w:t>
      </w:r>
      <w:r w:rsidR="001C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C7D3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металлочерепица</w:t>
      </w:r>
      <w:r w:rsidR="001C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6,6</w:t>
      </w:r>
      <w:r w:rsidR="001C7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«Эргоферон»</w:t>
      </w:r>
      <w:r w:rsidR="00EE7F7E" w:rsidRPr="00EE7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0054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5,8, перчатки трикотажные женские – на 5,6, джемпер мужской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5,2, моноблок –</w:t>
      </w:r>
      <w:r w:rsidR="00300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5</w:t>
      </w:r>
      <w:r w:rsidR="00025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,2</w:t>
      </w:r>
      <w:r w:rsid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5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260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9462DD" w:rsidRDefault="00B02ABE" w:rsidP="004E6793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</w:t>
      </w:r>
      <w:r w:rsidR="0067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цен</w:t>
      </w:r>
      <w:r w:rsidR="009A17A0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1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отмечал</w:t>
      </w:r>
      <w:r w:rsidR="008D6BB6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F1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r w:rsidR="008D6BB6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6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«</w:t>
      </w:r>
      <w:proofErr w:type="spellStart"/>
      <w:r w:rsidR="009E6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Смекту</w:t>
      </w:r>
      <w:proofErr w:type="spellEnd"/>
      <w:r w:rsidR="009E65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</w:t>
      </w:r>
      <w:r w:rsidR="00B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9,9</w:t>
      </w:r>
      <w:r w:rsidR="00875D68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875D68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B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флеш-накопитель</w:t>
      </w:r>
      <w:proofErr w:type="spellEnd"/>
      <w:r w:rsidR="00B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6,2</w:t>
      </w:r>
      <w:r w:rsidR="00EE51DD" w:rsidRP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B33397" w:rsidRPr="00B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литы древесностружечные, ориентированно-стружечные</w:t>
      </w:r>
      <w:r w:rsidR="0059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5,4</w:t>
      </w:r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9249E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миксер, </w:t>
      </w:r>
      <w:proofErr w:type="spellStart"/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блендер</w:t>
      </w:r>
      <w:proofErr w:type="spellEnd"/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5,4, печь микроволновую – на 5,3, бумагу туалетную – на 4,4, </w:t>
      </w:r>
      <w:r w:rsidR="0018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Магне</w:t>
      </w:r>
      <w:proofErr w:type="spellEnd"/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Start"/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proofErr w:type="gramEnd"/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0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5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80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4,1 </w:t>
      </w:r>
      <w:r w:rsidR="00A9249E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AF1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9249E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591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28F5" w:rsidRDefault="009A17A0" w:rsidP="00425229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Из платных</w:t>
      </w:r>
      <w:r w:rsidR="00591455"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услуг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="0012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всего увеличил</w:t>
      </w:r>
      <w:r w:rsid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2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r w:rsidR="004B46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5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</w:t>
      </w:r>
      <w:r w:rsidR="0012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591455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годового</w:t>
      </w:r>
      <w:r w:rsidR="00F83CE2" w:rsidRP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полиса обязательного страхования гражданской ответственности владельцев транспортных средств (ОСАГО)</w:t>
      </w:r>
      <w:r w:rsidR="00EE51DD" w:rsidRP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19,6 процента</w:t>
      </w:r>
      <w:r w:rsidR="0066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E51DD" w:rsidRP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бучени</w:t>
      </w:r>
      <w:r w:rsid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EE51DD" w:rsidRP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3CE2" w:rsidRP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образовательных организациях среднего профессионального образования</w:t>
      </w:r>
      <w:r w:rsid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13,8</w:t>
      </w:r>
      <w:r w:rsidR="00425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2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поездок в отдельные страны </w:t>
      </w:r>
      <w:r w:rsidR="00184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Средиземноморья </w:t>
      </w:r>
      <w:r w:rsidR="004A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11,9,</w:t>
      </w:r>
      <w:r w:rsidR="00F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6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Юго-Восточной Азии</w:t>
      </w:r>
      <w:r w:rsidR="00EE51DD" w:rsidRPr="00EE51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46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11,8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Египет – на 10,9, в отдельные страны Южной Азии – на 9,5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C46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55C1" w:rsidRDefault="001B3685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</w:t>
      </w:r>
      <w:r w:rsidR="00206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0C28F5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 w:rsidR="00206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28F5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отмечено </w:t>
      </w:r>
      <w:r w:rsidR="00304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3A0566" w:rsidRP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роезд в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купейном и плацкартном вагонах </w:t>
      </w:r>
      <w:r w:rsidR="003A0566" w:rsidRP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скорого нефирменного поезд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дальнего следования</w:t>
      </w:r>
      <w:r w:rsidR="003A0566" w:rsidRP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в равной степени </w:t>
      </w:r>
      <w:r w:rsidR="009F4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16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</w:t>
      </w:r>
      <w:r w:rsid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поездки в страны Закавказья – на 13,1</w:t>
      </w:r>
      <w:r w:rsid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пребывание в доме отдыха, пансионате – на 8, </w:t>
      </w:r>
      <w:r w:rsidR="009F4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поездку на отдых в ОАЭ – на 5,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FC04CA" w:rsidRP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олет в салоне экономического класса самолета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4,7,</w:t>
      </w:r>
      <w:r w:rsidR="00D67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0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поездку на отдых в Турцию – на 3,7 </w:t>
      </w:r>
      <w:r w:rsid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C28F5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роцента.</w:t>
      </w:r>
      <w:proofErr w:type="gramEnd"/>
    </w:p>
    <w:p w:rsidR="007D7E38" w:rsidRPr="00BA4E6D" w:rsidRDefault="007D7E38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DEA" w:rsidRPr="00BA4E6D" w:rsidRDefault="00B37DEA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За год (</w:t>
      </w:r>
      <w:r w:rsidR="00297B5F">
        <w:rPr>
          <w:rFonts w:ascii="Arial" w:hAnsi="Arial" w:cs="Arial"/>
          <w:b/>
          <w:color w:val="365F91" w:themeColor="accent1" w:themeShade="BF"/>
          <w:sz w:val="24"/>
          <w:szCs w:val="24"/>
        </w:rPr>
        <w:t>сентябрь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2022</w:t>
      </w:r>
      <w:r w:rsidR="00306346"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к </w:t>
      </w:r>
      <w:r w:rsidR="00297B5F">
        <w:rPr>
          <w:rFonts w:ascii="Arial" w:hAnsi="Arial" w:cs="Arial"/>
          <w:b/>
          <w:color w:val="365F91" w:themeColor="accent1" w:themeShade="BF"/>
          <w:sz w:val="24"/>
          <w:szCs w:val="24"/>
        </w:rPr>
        <w:t>сентябрю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2021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784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113,6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 Среди наблюдаемых 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547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DA3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отношению к </w:t>
      </w:r>
      <w:r w:rsidR="00DA3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сложил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BA4E6D" w:rsidRDefault="00784224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снизились цены по 45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AC136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услуг;</w:t>
      </w:r>
    </w:p>
    <w:p w:rsidR="00BD0749" w:rsidRPr="00BA4E6D" w:rsidRDefault="00BB4C8F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784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253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="00BD074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7DEA" w:rsidRPr="00BA4E6D" w:rsidRDefault="00BD0749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784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249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4E6D" w:rsidRPr="008A15FF" w:rsidRDefault="00BA4E6D" w:rsidP="00864493">
      <w:pPr>
        <w:pStyle w:val="aa"/>
        <w:widowControl w:val="0"/>
        <w:spacing w:after="0" w:line="240" w:lineRule="exact"/>
        <w:ind w:left="6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409B" w:rsidRPr="006C364D" w:rsidRDefault="00BA409B" w:rsidP="00864493">
      <w:pPr>
        <w:widowControl w:val="0"/>
        <w:spacing w:after="0" w:line="240" w:lineRule="exact"/>
        <w:jc w:val="center"/>
        <w:rPr>
          <w:rFonts w:ascii="Arial" w:hAnsi="Arial" w:cs="Arial"/>
          <w:color w:val="C00000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Группировка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потребительских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товаров</w:t>
      </w:r>
      <w:r w:rsidR="009F0BD3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и услуг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по темпам роста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(снижения) 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цен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80"/>
        <w:gridCol w:w="3479"/>
        <w:gridCol w:w="3481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5B537C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4224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784224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113,7</w:t>
            </w:r>
            <w:r w:rsidR="00B56B51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84224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B56B51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14</w:t>
            </w:r>
            <w:r w:rsidR="005B53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784224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79168D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E6D" w:rsidRDefault="00BA4E6D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246" w:rsidRDefault="00F067D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начительн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цен и тарифов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40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784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аименова</w:t>
      </w:r>
      <w:r w:rsidR="00F1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услуг: </w:t>
      </w:r>
      <w:proofErr w:type="gramStart"/>
      <w:r w:rsidR="0014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42E34" w:rsidRPr="0014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Ацетилсалициловая кислота (Аспирин отечественный)</w:t>
      </w:r>
      <w:r w:rsidR="0014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775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– в 2 раза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42E34" w:rsidRPr="00142E34">
        <w:rPr>
          <w:rFonts w:ascii="Arial" w:eastAsia="Times New Roman" w:hAnsi="Arial" w:cs="Arial"/>
          <w:sz w:val="24"/>
          <w:szCs w:val="24"/>
          <w:lang w:eastAsia="ru-RU"/>
        </w:rPr>
        <w:t>оездки в отдельные страны Средиземноморья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42D5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на 71,1 процента</w:t>
      </w:r>
      <w:r w:rsidR="0044443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мыло хозяйственное</w:t>
      </w:r>
      <w:r w:rsidR="00A77564">
        <w:rPr>
          <w:rFonts w:ascii="Arial" w:eastAsia="Times New Roman" w:hAnsi="Arial" w:cs="Arial"/>
          <w:sz w:val="24"/>
          <w:szCs w:val="24"/>
          <w:lang w:eastAsia="ru-RU"/>
        </w:rPr>
        <w:t xml:space="preserve"> – на</w:t>
      </w:r>
      <w:r w:rsidR="00A77564" w:rsidRPr="00A77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57,8</w:t>
      </w:r>
      <w:r w:rsidR="00A775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спички</w:t>
      </w:r>
      <w:r w:rsidR="00DA3FD3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 xml:space="preserve"> на 56</w:t>
      </w:r>
      <w:r w:rsidR="00DA3FD3">
        <w:rPr>
          <w:rFonts w:ascii="Arial" w:eastAsia="Times New Roman" w:hAnsi="Arial" w:cs="Arial"/>
          <w:sz w:val="24"/>
          <w:szCs w:val="24"/>
          <w:lang w:eastAsia="ru-RU"/>
        </w:rPr>
        <w:t xml:space="preserve">,9,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ксерокопирование документа</w:t>
      </w:r>
      <w:r w:rsidR="00896585" w:rsidRPr="00A77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– на 52,2</w:t>
      </w:r>
      <w:r w:rsidR="008965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дезодорант</w:t>
      </w:r>
      <w:r w:rsidR="001750B7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50,5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«Йод»</w:t>
      </w:r>
      <w:r w:rsidR="00896585" w:rsidRPr="008965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– на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 xml:space="preserve">50,3, шприцы одноразовые – на 49,7, кальмары мороженые – на 48,4, мыло туалетное – на 45,9, маргарин – на 43,2, тетрадь школьная – на 43,1, крем для рук – </w:t>
      </w:r>
      <w:r w:rsidR="00BE103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42E34">
        <w:rPr>
          <w:rFonts w:ascii="Arial" w:eastAsia="Times New Roman" w:hAnsi="Arial" w:cs="Arial"/>
          <w:sz w:val="24"/>
          <w:szCs w:val="24"/>
          <w:lang w:eastAsia="ru-RU"/>
        </w:rPr>
        <w:t>42,8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  <w:proofErr w:type="gramEnd"/>
    </w:p>
    <w:sectPr w:rsidR="00787246" w:rsidSect="003A05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33CE"/>
    <w:rsid w:val="000020F2"/>
    <w:rsid w:val="00011035"/>
    <w:rsid w:val="000231F6"/>
    <w:rsid w:val="0002399D"/>
    <w:rsid w:val="00025DCC"/>
    <w:rsid w:val="000276FB"/>
    <w:rsid w:val="000310D3"/>
    <w:rsid w:val="0003204F"/>
    <w:rsid w:val="00032D30"/>
    <w:rsid w:val="000417E6"/>
    <w:rsid w:val="00042563"/>
    <w:rsid w:val="000579B2"/>
    <w:rsid w:val="00060488"/>
    <w:rsid w:val="00072CC9"/>
    <w:rsid w:val="00076CB4"/>
    <w:rsid w:val="00080CAA"/>
    <w:rsid w:val="000812DF"/>
    <w:rsid w:val="000822DF"/>
    <w:rsid w:val="00084AE0"/>
    <w:rsid w:val="00084BA7"/>
    <w:rsid w:val="000940C1"/>
    <w:rsid w:val="000B3216"/>
    <w:rsid w:val="000C28F5"/>
    <w:rsid w:val="000C2D24"/>
    <w:rsid w:val="000C6714"/>
    <w:rsid w:val="000D30C8"/>
    <w:rsid w:val="000D4DAE"/>
    <w:rsid w:val="000D5F77"/>
    <w:rsid w:val="000D6153"/>
    <w:rsid w:val="000E4B1B"/>
    <w:rsid w:val="000E53E2"/>
    <w:rsid w:val="001017AB"/>
    <w:rsid w:val="00104E02"/>
    <w:rsid w:val="00107C87"/>
    <w:rsid w:val="00111299"/>
    <w:rsid w:val="00112EF5"/>
    <w:rsid w:val="001200C4"/>
    <w:rsid w:val="00123409"/>
    <w:rsid w:val="0012372E"/>
    <w:rsid w:val="00123E15"/>
    <w:rsid w:val="001242AC"/>
    <w:rsid w:val="0012478E"/>
    <w:rsid w:val="00125627"/>
    <w:rsid w:val="00132F55"/>
    <w:rsid w:val="00137536"/>
    <w:rsid w:val="001420CB"/>
    <w:rsid w:val="001427CC"/>
    <w:rsid w:val="00142C86"/>
    <w:rsid w:val="00142E34"/>
    <w:rsid w:val="0014305B"/>
    <w:rsid w:val="00152545"/>
    <w:rsid w:val="00156DF7"/>
    <w:rsid w:val="0015799F"/>
    <w:rsid w:val="00162216"/>
    <w:rsid w:val="001628EB"/>
    <w:rsid w:val="001638B7"/>
    <w:rsid w:val="001653FE"/>
    <w:rsid w:val="001718B1"/>
    <w:rsid w:val="001750B7"/>
    <w:rsid w:val="001826F4"/>
    <w:rsid w:val="001830B0"/>
    <w:rsid w:val="0018489C"/>
    <w:rsid w:val="001855D6"/>
    <w:rsid w:val="00187FE6"/>
    <w:rsid w:val="001A7049"/>
    <w:rsid w:val="001B2729"/>
    <w:rsid w:val="001B3685"/>
    <w:rsid w:val="001B71FC"/>
    <w:rsid w:val="001C367E"/>
    <w:rsid w:val="001C6C29"/>
    <w:rsid w:val="001C7D33"/>
    <w:rsid w:val="001D078E"/>
    <w:rsid w:val="001D51CB"/>
    <w:rsid w:val="001E11F3"/>
    <w:rsid w:val="001F3337"/>
    <w:rsid w:val="001F7FA0"/>
    <w:rsid w:val="002024AC"/>
    <w:rsid w:val="0020622D"/>
    <w:rsid w:val="0020638F"/>
    <w:rsid w:val="00207366"/>
    <w:rsid w:val="00210F83"/>
    <w:rsid w:val="00210FF1"/>
    <w:rsid w:val="002171B9"/>
    <w:rsid w:val="00231788"/>
    <w:rsid w:val="00233110"/>
    <w:rsid w:val="00247223"/>
    <w:rsid w:val="002500B9"/>
    <w:rsid w:val="00250834"/>
    <w:rsid w:val="00252F52"/>
    <w:rsid w:val="00256F0A"/>
    <w:rsid w:val="00257757"/>
    <w:rsid w:val="00257F4F"/>
    <w:rsid w:val="00260054"/>
    <w:rsid w:val="00262E2D"/>
    <w:rsid w:val="002658BD"/>
    <w:rsid w:val="002754DB"/>
    <w:rsid w:val="00277C90"/>
    <w:rsid w:val="00277E27"/>
    <w:rsid w:val="00280370"/>
    <w:rsid w:val="002807C5"/>
    <w:rsid w:val="00283A94"/>
    <w:rsid w:val="00286128"/>
    <w:rsid w:val="00293BC8"/>
    <w:rsid w:val="00297B5F"/>
    <w:rsid w:val="002A13CA"/>
    <w:rsid w:val="002A1866"/>
    <w:rsid w:val="002A34C0"/>
    <w:rsid w:val="002A54D6"/>
    <w:rsid w:val="002A7801"/>
    <w:rsid w:val="002B3339"/>
    <w:rsid w:val="002C3FA3"/>
    <w:rsid w:val="002C5792"/>
    <w:rsid w:val="002C7620"/>
    <w:rsid w:val="002D2AD7"/>
    <w:rsid w:val="002D78A7"/>
    <w:rsid w:val="002E2829"/>
    <w:rsid w:val="002E3DF2"/>
    <w:rsid w:val="002E4414"/>
    <w:rsid w:val="002E7E50"/>
    <w:rsid w:val="002F54F1"/>
    <w:rsid w:val="00300491"/>
    <w:rsid w:val="0030145D"/>
    <w:rsid w:val="00304974"/>
    <w:rsid w:val="00305D20"/>
    <w:rsid w:val="00306346"/>
    <w:rsid w:val="003066C6"/>
    <w:rsid w:val="00310FBE"/>
    <w:rsid w:val="00321608"/>
    <w:rsid w:val="00322B29"/>
    <w:rsid w:val="00325D0B"/>
    <w:rsid w:val="00326A3A"/>
    <w:rsid w:val="00327B1E"/>
    <w:rsid w:val="00330F50"/>
    <w:rsid w:val="00331FF5"/>
    <w:rsid w:val="0034737D"/>
    <w:rsid w:val="00357D17"/>
    <w:rsid w:val="00364510"/>
    <w:rsid w:val="00365BB6"/>
    <w:rsid w:val="003853D1"/>
    <w:rsid w:val="003975C4"/>
    <w:rsid w:val="003A0566"/>
    <w:rsid w:val="003A39E4"/>
    <w:rsid w:val="003A56D3"/>
    <w:rsid w:val="003B4C77"/>
    <w:rsid w:val="003C11CC"/>
    <w:rsid w:val="003C6E38"/>
    <w:rsid w:val="003D080B"/>
    <w:rsid w:val="003D51EC"/>
    <w:rsid w:val="003E4150"/>
    <w:rsid w:val="003E5543"/>
    <w:rsid w:val="003E72A5"/>
    <w:rsid w:val="003F0FD2"/>
    <w:rsid w:val="003F1EAC"/>
    <w:rsid w:val="003F681C"/>
    <w:rsid w:val="00407B69"/>
    <w:rsid w:val="004167D4"/>
    <w:rsid w:val="00417EF4"/>
    <w:rsid w:val="0042075C"/>
    <w:rsid w:val="00424660"/>
    <w:rsid w:val="00424C24"/>
    <w:rsid w:val="00425229"/>
    <w:rsid w:val="004335FE"/>
    <w:rsid w:val="00433B4E"/>
    <w:rsid w:val="00436CEF"/>
    <w:rsid w:val="00443429"/>
    <w:rsid w:val="0044443E"/>
    <w:rsid w:val="00444FB3"/>
    <w:rsid w:val="004628C1"/>
    <w:rsid w:val="00463D7C"/>
    <w:rsid w:val="00465CF5"/>
    <w:rsid w:val="004679C4"/>
    <w:rsid w:val="00470455"/>
    <w:rsid w:val="004776D5"/>
    <w:rsid w:val="004822C9"/>
    <w:rsid w:val="00482D59"/>
    <w:rsid w:val="00487ABA"/>
    <w:rsid w:val="00491589"/>
    <w:rsid w:val="0049290D"/>
    <w:rsid w:val="00497078"/>
    <w:rsid w:val="004A0A4E"/>
    <w:rsid w:val="004A12DB"/>
    <w:rsid w:val="004A34BF"/>
    <w:rsid w:val="004B1BA8"/>
    <w:rsid w:val="004B237B"/>
    <w:rsid w:val="004B3FE0"/>
    <w:rsid w:val="004B43B0"/>
    <w:rsid w:val="004B460F"/>
    <w:rsid w:val="004C1BF2"/>
    <w:rsid w:val="004C2326"/>
    <w:rsid w:val="004D2189"/>
    <w:rsid w:val="004D341D"/>
    <w:rsid w:val="004D6BE5"/>
    <w:rsid w:val="004E03B6"/>
    <w:rsid w:val="004E6793"/>
    <w:rsid w:val="004F4EEF"/>
    <w:rsid w:val="004F50BB"/>
    <w:rsid w:val="004F6A12"/>
    <w:rsid w:val="004F6E7C"/>
    <w:rsid w:val="00501797"/>
    <w:rsid w:val="00505B54"/>
    <w:rsid w:val="00505C25"/>
    <w:rsid w:val="00513650"/>
    <w:rsid w:val="00515437"/>
    <w:rsid w:val="0052582C"/>
    <w:rsid w:val="00527146"/>
    <w:rsid w:val="00527B23"/>
    <w:rsid w:val="005320BC"/>
    <w:rsid w:val="00532A36"/>
    <w:rsid w:val="00542C15"/>
    <w:rsid w:val="00544D66"/>
    <w:rsid w:val="00546BCC"/>
    <w:rsid w:val="00551DA6"/>
    <w:rsid w:val="0056110A"/>
    <w:rsid w:val="005611AC"/>
    <w:rsid w:val="00564681"/>
    <w:rsid w:val="00567CA7"/>
    <w:rsid w:val="00570F3D"/>
    <w:rsid w:val="0057285F"/>
    <w:rsid w:val="00575693"/>
    <w:rsid w:val="005808B5"/>
    <w:rsid w:val="005834E9"/>
    <w:rsid w:val="00584C6F"/>
    <w:rsid w:val="00591455"/>
    <w:rsid w:val="00591E61"/>
    <w:rsid w:val="00592B66"/>
    <w:rsid w:val="00593B86"/>
    <w:rsid w:val="00594B79"/>
    <w:rsid w:val="005A184A"/>
    <w:rsid w:val="005A1B64"/>
    <w:rsid w:val="005B3E96"/>
    <w:rsid w:val="005B537C"/>
    <w:rsid w:val="005B770F"/>
    <w:rsid w:val="005C32A5"/>
    <w:rsid w:val="005C420E"/>
    <w:rsid w:val="005D39B7"/>
    <w:rsid w:val="005E769E"/>
    <w:rsid w:val="005F0CE8"/>
    <w:rsid w:val="005F1611"/>
    <w:rsid w:val="005F61DD"/>
    <w:rsid w:val="00605F8D"/>
    <w:rsid w:val="00606280"/>
    <w:rsid w:val="0060644A"/>
    <w:rsid w:val="00610EAD"/>
    <w:rsid w:val="00627AE4"/>
    <w:rsid w:val="00627F23"/>
    <w:rsid w:val="006368B7"/>
    <w:rsid w:val="00636A00"/>
    <w:rsid w:val="00636E68"/>
    <w:rsid w:val="006400F1"/>
    <w:rsid w:val="00640CD4"/>
    <w:rsid w:val="00646507"/>
    <w:rsid w:val="0065073E"/>
    <w:rsid w:val="00651266"/>
    <w:rsid w:val="00651DB9"/>
    <w:rsid w:val="00655A96"/>
    <w:rsid w:val="00656285"/>
    <w:rsid w:val="00656665"/>
    <w:rsid w:val="00666384"/>
    <w:rsid w:val="0066694A"/>
    <w:rsid w:val="00666BA5"/>
    <w:rsid w:val="006733C1"/>
    <w:rsid w:val="00676FDE"/>
    <w:rsid w:val="0067786B"/>
    <w:rsid w:val="00677E77"/>
    <w:rsid w:val="00686D7B"/>
    <w:rsid w:val="006928A4"/>
    <w:rsid w:val="006934B2"/>
    <w:rsid w:val="006938E4"/>
    <w:rsid w:val="0069598E"/>
    <w:rsid w:val="006A0EEB"/>
    <w:rsid w:val="006A1BAE"/>
    <w:rsid w:val="006A5FE6"/>
    <w:rsid w:val="006B26B4"/>
    <w:rsid w:val="006B2B9D"/>
    <w:rsid w:val="006B2EB0"/>
    <w:rsid w:val="006C364D"/>
    <w:rsid w:val="006C5919"/>
    <w:rsid w:val="006D366C"/>
    <w:rsid w:val="006D5941"/>
    <w:rsid w:val="006D598A"/>
    <w:rsid w:val="006E12CB"/>
    <w:rsid w:val="006E268A"/>
    <w:rsid w:val="006E567B"/>
    <w:rsid w:val="006F0CF9"/>
    <w:rsid w:val="006F56EA"/>
    <w:rsid w:val="007010E6"/>
    <w:rsid w:val="007045F0"/>
    <w:rsid w:val="0071215F"/>
    <w:rsid w:val="00712F98"/>
    <w:rsid w:val="00713072"/>
    <w:rsid w:val="007150D8"/>
    <w:rsid w:val="00722CFE"/>
    <w:rsid w:val="00724AFE"/>
    <w:rsid w:val="00730897"/>
    <w:rsid w:val="00730D3E"/>
    <w:rsid w:val="007347C1"/>
    <w:rsid w:val="00734A6D"/>
    <w:rsid w:val="00745C95"/>
    <w:rsid w:val="0074613C"/>
    <w:rsid w:val="00753640"/>
    <w:rsid w:val="007635F7"/>
    <w:rsid w:val="00766141"/>
    <w:rsid w:val="007745C0"/>
    <w:rsid w:val="00781D33"/>
    <w:rsid w:val="00782102"/>
    <w:rsid w:val="00784224"/>
    <w:rsid w:val="00787246"/>
    <w:rsid w:val="00787841"/>
    <w:rsid w:val="0079168D"/>
    <w:rsid w:val="00794A26"/>
    <w:rsid w:val="007955F1"/>
    <w:rsid w:val="007B0E55"/>
    <w:rsid w:val="007B5B13"/>
    <w:rsid w:val="007C44F9"/>
    <w:rsid w:val="007C50EE"/>
    <w:rsid w:val="007C71A6"/>
    <w:rsid w:val="007C77DE"/>
    <w:rsid w:val="007D036B"/>
    <w:rsid w:val="007D50A0"/>
    <w:rsid w:val="007D7E38"/>
    <w:rsid w:val="007F3CA8"/>
    <w:rsid w:val="007F46EE"/>
    <w:rsid w:val="007F4DA0"/>
    <w:rsid w:val="007F525E"/>
    <w:rsid w:val="008055D3"/>
    <w:rsid w:val="00805D9D"/>
    <w:rsid w:val="00805DBC"/>
    <w:rsid w:val="008073C8"/>
    <w:rsid w:val="008117C3"/>
    <w:rsid w:val="00815260"/>
    <w:rsid w:val="008233F3"/>
    <w:rsid w:val="008324BF"/>
    <w:rsid w:val="00836A3B"/>
    <w:rsid w:val="00836A80"/>
    <w:rsid w:val="00846BC3"/>
    <w:rsid w:val="00856AE3"/>
    <w:rsid w:val="00857133"/>
    <w:rsid w:val="00864493"/>
    <w:rsid w:val="00875D68"/>
    <w:rsid w:val="0089031F"/>
    <w:rsid w:val="0089086F"/>
    <w:rsid w:val="008958A7"/>
    <w:rsid w:val="00896585"/>
    <w:rsid w:val="008A0FEF"/>
    <w:rsid w:val="008A15FF"/>
    <w:rsid w:val="008A1ADB"/>
    <w:rsid w:val="008B3998"/>
    <w:rsid w:val="008B60F2"/>
    <w:rsid w:val="008C4C52"/>
    <w:rsid w:val="008C7CF0"/>
    <w:rsid w:val="008D0CBB"/>
    <w:rsid w:val="008D4410"/>
    <w:rsid w:val="008D6BB6"/>
    <w:rsid w:val="008E57EE"/>
    <w:rsid w:val="008E5847"/>
    <w:rsid w:val="008E69C4"/>
    <w:rsid w:val="008E70A9"/>
    <w:rsid w:val="008F0736"/>
    <w:rsid w:val="008F323B"/>
    <w:rsid w:val="008F44FB"/>
    <w:rsid w:val="009077CB"/>
    <w:rsid w:val="00917695"/>
    <w:rsid w:val="00923B0B"/>
    <w:rsid w:val="00930C2F"/>
    <w:rsid w:val="009462DD"/>
    <w:rsid w:val="00950F74"/>
    <w:rsid w:val="00955321"/>
    <w:rsid w:val="00956D35"/>
    <w:rsid w:val="00957466"/>
    <w:rsid w:val="009619A9"/>
    <w:rsid w:val="00964A76"/>
    <w:rsid w:val="00972100"/>
    <w:rsid w:val="009742EC"/>
    <w:rsid w:val="00974A66"/>
    <w:rsid w:val="009822F3"/>
    <w:rsid w:val="009924A4"/>
    <w:rsid w:val="00993C93"/>
    <w:rsid w:val="009A17A0"/>
    <w:rsid w:val="009C55C1"/>
    <w:rsid w:val="009E3945"/>
    <w:rsid w:val="009E3F58"/>
    <w:rsid w:val="009E5143"/>
    <w:rsid w:val="009E65BC"/>
    <w:rsid w:val="009F0636"/>
    <w:rsid w:val="009F0BD3"/>
    <w:rsid w:val="009F4811"/>
    <w:rsid w:val="00A0148C"/>
    <w:rsid w:val="00A11640"/>
    <w:rsid w:val="00A12FF0"/>
    <w:rsid w:val="00A1303A"/>
    <w:rsid w:val="00A13EA0"/>
    <w:rsid w:val="00A2233C"/>
    <w:rsid w:val="00A2446B"/>
    <w:rsid w:val="00A26DC1"/>
    <w:rsid w:val="00A31BEE"/>
    <w:rsid w:val="00A36C8E"/>
    <w:rsid w:val="00A42D51"/>
    <w:rsid w:val="00A44F75"/>
    <w:rsid w:val="00A45884"/>
    <w:rsid w:val="00A46546"/>
    <w:rsid w:val="00A50084"/>
    <w:rsid w:val="00A50A4D"/>
    <w:rsid w:val="00A5171A"/>
    <w:rsid w:val="00A5540F"/>
    <w:rsid w:val="00A55661"/>
    <w:rsid w:val="00A57B40"/>
    <w:rsid w:val="00A64586"/>
    <w:rsid w:val="00A70D19"/>
    <w:rsid w:val="00A75ED1"/>
    <w:rsid w:val="00A77564"/>
    <w:rsid w:val="00A7793C"/>
    <w:rsid w:val="00A82011"/>
    <w:rsid w:val="00A85D5E"/>
    <w:rsid w:val="00A915AE"/>
    <w:rsid w:val="00A9249E"/>
    <w:rsid w:val="00AA037A"/>
    <w:rsid w:val="00AA30A1"/>
    <w:rsid w:val="00AA7803"/>
    <w:rsid w:val="00AB37DA"/>
    <w:rsid w:val="00AC136F"/>
    <w:rsid w:val="00AC3E57"/>
    <w:rsid w:val="00AE1C6D"/>
    <w:rsid w:val="00AE31A1"/>
    <w:rsid w:val="00AF1360"/>
    <w:rsid w:val="00AF4A58"/>
    <w:rsid w:val="00AF4D9A"/>
    <w:rsid w:val="00AF70E9"/>
    <w:rsid w:val="00B01F4B"/>
    <w:rsid w:val="00B02ABE"/>
    <w:rsid w:val="00B03778"/>
    <w:rsid w:val="00B10279"/>
    <w:rsid w:val="00B10450"/>
    <w:rsid w:val="00B10454"/>
    <w:rsid w:val="00B111D7"/>
    <w:rsid w:val="00B115C2"/>
    <w:rsid w:val="00B116E5"/>
    <w:rsid w:val="00B12A50"/>
    <w:rsid w:val="00B12B98"/>
    <w:rsid w:val="00B163CE"/>
    <w:rsid w:val="00B33397"/>
    <w:rsid w:val="00B3567D"/>
    <w:rsid w:val="00B36109"/>
    <w:rsid w:val="00B37DEA"/>
    <w:rsid w:val="00B42A56"/>
    <w:rsid w:val="00B47656"/>
    <w:rsid w:val="00B541E8"/>
    <w:rsid w:val="00B566DF"/>
    <w:rsid w:val="00B56B51"/>
    <w:rsid w:val="00B66992"/>
    <w:rsid w:val="00B66EAE"/>
    <w:rsid w:val="00B8151F"/>
    <w:rsid w:val="00B82617"/>
    <w:rsid w:val="00B868DF"/>
    <w:rsid w:val="00B90F3D"/>
    <w:rsid w:val="00BA30B8"/>
    <w:rsid w:val="00BA409B"/>
    <w:rsid w:val="00BA4E6D"/>
    <w:rsid w:val="00BA6EB0"/>
    <w:rsid w:val="00BB07E6"/>
    <w:rsid w:val="00BB0F23"/>
    <w:rsid w:val="00BB1EB9"/>
    <w:rsid w:val="00BB4C8F"/>
    <w:rsid w:val="00BB59F4"/>
    <w:rsid w:val="00BB74C8"/>
    <w:rsid w:val="00BC36CD"/>
    <w:rsid w:val="00BD0749"/>
    <w:rsid w:val="00BD6AA5"/>
    <w:rsid w:val="00BD7B81"/>
    <w:rsid w:val="00BE1030"/>
    <w:rsid w:val="00BE6F5A"/>
    <w:rsid w:val="00BF0FBA"/>
    <w:rsid w:val="00BF3741"/>
    <w:rsid w:val="00BF4DDC"/>
    <w:rsid w:val="00C01534"/>
    <w:rsid w:val="00C06F66"/>
    <w:rsid w:val="00C1160E"/>
    <w:rsid w:val="00C12014"/>
    <w:rsid w:val="00C17451"/>
    <w:rsid w:val="00C360C1"/>
    <w:rsid w:val="00C36F86"/>
    <w:rsid w:val="00C431CC"/>
    <w:rsid w:val="00C43F60"/>
    <w:rsid w:val="00C462CC"/>
    <w:rsid w:val="00C46911"/>
    <w:rsid w:val="00C5661B"/>
    <w:rsid w:val="00C73B6B"/>
    <w:rsid w:val="00C85ADE"/>
    <w:rsid w:val="00C96F6F"/>
    <w:rsid w:val="00CA2C4C"/>
    <w:rsid w:val="00CA46D7"/>
    <w:rsid w:val="00CA580F"/>
    <w:rsid w:val="00CA5E9A"/>
    <w:rsid w:val="00CB2604"/>
    <w:rsid w:val="00CB5AA0"/>
    <w:rsid w:val="00CD156C"/>
    <w:rsid w:val="00CD4822"/>
    <w:rsid w:val="00CE1E05"/>
    <w:rsid w:val="00CE64BB"/>
    <w:rsid w:val="00CF032E"/>
    <w:rsid w:val="00CF0CB4"/>
    <w:rsid w:val="00D0239B"/>
    <w:rsid w:val="00D142F9"/>
    <w:rsid w:val="00D254A3"/>
    <w:rsid w:val="00D31890"/>
    <w:rsid w:val="00D31D51"/>
    <w:rsid w:val="00D36BF1"/>
    <w:rsid w:val="00D46530"/>
    <w:rsid w:val="00D465E2"/>
    <w:rsid w:val="00D54FF2"/>
    <w:rsid w:val="00D6424A"/>
    <w:rsid w:val="00D647D2"/>
    <w:rsid w:val="00D66C03"/>
    <w:rsid w:val="00D67F24"/>
    <w:rsid w:val="00D717E5"/>
    <w:rsid w:val="00D72775"/>
    <w:rsid w:val="00D74D82"/>
    <w:rsid w:val="00D76566"/>
    <w:rsid w:val="00D81CD1"/>
    <w:rsid w:val="00D92648"/>
    <w:rsid w:val="00D9334D"/>
    <w:rsid w:val="00D933BB"/>
    <w:rsid w:val="00D95CF2"/>
    <w:rsid w:val="00D9653D"/>
    <w:rsid w:val="00D972F8"/>
    <w:rsid w:val="00DA3FD3"/>
    <w:rsid w:val="00DA45A6"/>
    <w:rsid w:val="00DA55A1"/>
    <w:rsid w:val="00DA58B4"/>
    <w:rsid w:val="00DA5D60"/>
    <w:rsid w:val="00DB0CDE"/>
    <w:rsid w:val="00DB7034"/>
    <w:rsid w:val="00DC285B"/>
    <w:rsid w:val="00DC3728"/>
    <w:rsid w:val="00DC3A6F"/>
    <w:rsid w:val="00DC5DD1"/>
    <w:rsid w:val="00DD1A55"/>
    <w:rsid w:val="00DD7F32"/>
    <w:rsid w:val="00DE24C4"/>
    <w:rsid w:val="00DE33CE"/>
    <w:rsid w:val="00DE66A3"/>
    <w:rsid w:val="00DF049F"/>
    <w:rsid w:val="00DF1780"/>
    <w:rsid w:val="00DF547E"/>
    <w:rsid w:val="00E049B7"/>
    <w:rsid w:val="00E05B3D"/>
    <w:rsid w:val="00E129CC"/>
    <w:rsid w:val="00E14DD8"/>
    <w:rsid w:val="00E15AFA"/>
    <w:rsid w:val="00E3373A"/>
    <w:rsid w:val="00E35493"/>
    <w:rsid w:val="00E44ED2"/>
    <w:rsid w:val="00E50310"/>
    <w:rsid w:val="00E615FD"/>
    <w:rsid w:val="00E616A1"/>
    <w:rsid w:val="00E6371D"/>
    <w:rsid w:val="00E67796"/>
    <w:rsid w:val="00E724CE"/>
    <w:rsid w:val="00E73079"/>
    <w:rsid w:val="00E752A0"/>
    <w:rsid w:val="00E8115C"/>
    <w:rsid w:val="00E81F2A"/>
    <w:rsid w:val="00E85356"/>
    <w:rsid w:val="00E9435D"/>
    <w:rsid w:val="00E944F3"/>
    <w:rsid w:val="00EA45C7"/>
    <w:rsid w:val="00EA7268"/>
    <w:rsid w:val="00EB33F4"/>
    <w:rsid w:val="00EC58F8"/>
    <w:rsid w:val="00ED4AE8"/>
    <w:rsid w:val="00ED77AB"/>
    <w:rsid w:val="00EE0EC8"/>
    <w:rsid w:val="00EE30D7"/>
    <w:rsid w:val="00EE51DD"/>
    <w:rsid w:val="00EE7DAD"/>
    <w:rsid w:val="00EE7F7E"/>
    <w:rsid w:val="00EF2CD8"/>
    <w:rsid w:val="00EF35B3"/>
    <w:rsid w:val="00EF75AF"/>
    <w:rsid w:val="00F00244"/>
    <w:rsid w:val="00F00351"/>
    <w:rsid w:val="00F02B06"/>
    <w:rsid w:val="00F03238"/>
    <w:rsid w:val="00F0335B"/>
    <w:rsid w:val="00F067D0"/>
    <w:rsid w:val="00F11756"/>
    <w:rsid w:val="00F11FFE"/>
    <w:rsid w:val="00F13225"/>
    <w:rsid w:val="00F165E6"/>
    <w:rsid w:val="00F16AE1"/>
    <w:rsid w:val="00F23F0A"/>
    <w:rsid w:val="00F31413"/>
    <w:rsid w:val="00F337CB"/>
    <w:rsid w:val="00F373CD"/>
    <w:rsid w:val="00F4128F"/>
    <w:rsid w:val="00F4344E"/>
    <w:rsid w:val="00F4565C"/>
    <w:rsid w:val="00F61ED8"/>
    <w:rsid w:val="00F76C5D"/>
    <w:rsid w:val="00F812B1"/>
    <w:rsid w:val="00F83CE2"/>
    <w:rsid w:val="00F91FFB"/>
    <w:rsid w:val="00F948A0"/>
    <w:rsid w:val="00FB78B7"/>
    <w:rsid w:val="00FC04CA"/>
    <w:rsid w:val="00FD04C8"/>
    <w:rsid w:val="00FD1056"/>
    <w:rsid w:val="00FD530B"/>
    <w:rsid w:val="00FD5B42"/>
    <w:rsid w:val="00FE0490"/>
    <w:rsid w:val="00FE516D"/>
    <w:rsid w:val="00FE6928"/>
    <w:rsid w:val="00FE7F65"/>
    <w:rsid w:val="00FF08F1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plotArea>
      <c:layout>
        <c:manualLayout>
          <c:layoutTarget val="inner"/>
          <c:xMode val="edge"/>
          <c:yMode val="edge"/>
          <c:x val="1.888589910513155E-2"/>
          <c:y val="2.5589607054513899E-3"/>
          <c:w val="0.9613962427924857"/>
          <c:h val="0.799880284748579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8A0000"/>
                </a:solidFill>
              </a:ln>
            </c:spPr>
          </c:marker>
          <c:dLbls>
            <c:dLbl>
              <c:idx val="0"/>
              <c:layout>
                <c:manualLayout>
                  <c:x val="-4.7395520995776486E-2"/>
                  <c:y val="7.573498598872839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690318019776688E-2"/>
                  <c:y val="6.947725596542979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569028871391078E-2"/>
                  <c:y val="-4.713419815328842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590551181102374E-2"/>
                  <c:y val="-5.672652429237712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9889763779527557E-2"/>
                  <c:y val="-5.193036122283278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5690288713910843E-2"/>
                  <c:y val="-5.193036122283278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5690483268635708E-2"/>
                  <c:y val="-6.340197179989769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5.1989501312335963E-2"/>
                  <c:y val="-4.713419815328842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569028871391078E-2"/>
                  <c:y val="-5.193036122283278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833798334263369E-2"/>
                  <c:y val="-5.1930361222832788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#,##0.####</c:formatCode>
                <c:ptCount val="12"/>
                <c:pt idx="0">
                  <c:v>100.58</c:v>
                </c:pt>
                <c:pt idx="1">
                  <c:v>100.89</c:v>
                </c:pt>
                <c:pt idx="2">
                  <c:v>100.41000000000007</c:v>
                </c:pt>
                <c:pt idx="3">
                  <c:v>100.79</c:v>
                </c:pt>
                <c:pt idx="4">
                  <c:v>100.96000000000002</c:v>
                </c:pt>
                <c:pt idx="5">
                  <c:v>100.5</c:v>
                </c:pt>
                <c:pt idx="6">
                  <c:v>100.63</c:v>
                </c:pt>
                <c:pt idx="7">
                  <c:v>100.03</c:v>
                </c:pt>
                <c:pt idx="8">
                  <c:v>100.55</c:v>
                </c:pt>
                <c:pt idx="9">
                  <c:v>101.16</c:v>
                </c:pt>
                <c:pt idx="10">
                  <c:v>101.14999999999999</c:v>
                </c:pt>
                <c:pt idx="11">
                  <c:v>101.02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984807"/>
                </a:solidFill>
              </a:ln>
              <a:scene3d>
                <a:camera prst="orthographicFront"/>
                <a:lightRig rig="threePt" dir="t"/>
              </a:scene3d>
              <a:sp3d prstMaterial="matte"/>
            </c:spPr>
          </c:marker>
          <c:dLbls>
            <c:dLbl>
              <c:idx val="0"/>
              <c:layout>
                <c:manualLayout>
                  <c:x val="-6.1876289085911598E-2"/>
                  <c:y val="-5.984138673313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2107590881848536E-2"/>
                  <c:y val="-5.577786589625937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740926281852572E-2"/>
                  <c:y val="-5.267735417964842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991981317296008E-2"/>
                  <c:y val="-6.879888215411930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687746251784071E-2"/>
                  <c:y val="7.371097725413293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490425233236369E-2"/>
                  <c:y val="7.480198719376693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569028871391078E-2"/>
                  <c:y val="7.111463585037489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2036869407072198E-2"/>
                  <c:y val="6.152268736192163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136448296358549E-2"/>
                  <c:y val="7.7414465268702465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#,##0.####</c:formatCode>
                <c:ptCount val="12"/>
                <c:pt idx="0">
                  <c:v>101.06</c:v>
                </c:pt>
                <c:pt idx="1">
                  <c:v>101.09</c:v>
                </c:pt>
                <c:pt idx="2">
                  <c:v>108.46000000000002</c:v>
                </c:pt>
                <c:pt idx="3">
                  <c:v>101.45</c:v>
                </c:pt>
                <c:pt idx="4">
                  <c:v>99.32</c:v>
                </c:pt>
                <c:pt idx="5">
                  <c:v>99.240000000000023</c:v>
                </c:pt>
                <c:pt idx="6">
                  <c:v>100.13</c:v>
                </c:pt>
                <c:pt idx="7">
                  <c:v>99.19</c:v>
                </c:pt>
                <c:pt idx="8" formatCode="General">
                  <c:v>99.9</c:v>
                </c:pt>
              </c:numCache>
            </c:numRef>
          </c:val>
        </c:ser>
        <c:dLbls>
          <c:showVal val="1"/>
        </c:dLbls>
        <c:marker val="1"/>
        <c:axId val="150998016"/>
        <c:axId val="151008000"/>
      </c:lineChart>
      <c:catAx>
        <c:axId val="15099801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1008000"/>
        <c:crossesAt val="97"/>
        <c:auto val="1"/>
        <c:lblAlgn val="ctr"/>
        <c:lblOffset val="100"/>
      </c:catAx>
      <c:valAx>
        <c:axId val="151008000"/>
        <c:scaling>
          <c:orientation val="minMax"/>
          <c:max val="110"/>
          <c:min val="95"/>
        </c:scaling>
        <c:axPos val="l"/>
        <c:numFmt formatCode="#,##0.####" sourceLinked="1"/>
        <c:tickLblPos val="none"/>
        <c:spPr>
          <a:ln>
            <a:noFill/>
          </a:ln>
        </c:spPr>
        <c:crossAx val="150998016"/>
        <c:crosses val="autoZero"/>
        <c:crossBetween val="between"/>
        <c:majorUnit val="1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33152557505115104"/>
          <c:y val="0.90807190468097965"/>
          <c:w val="0.31815200587163056"/>
          <c:h val="6.8030320836761249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343C-744C-46F7-B081-99913405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645</Words>
  <Characters>3679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2019-10-08T08:31:00Z</cp:lastPrinted>
  <dcterms:created xsi:type="dcterms:W3CDTF">2019-07-16T10:12:00Z</dcterms:created>
  <dcterms:modified xsi:type="dcterms:W3CDTF">2022-10-13T10:00:00Z</dcterms:modified>
</cp:coreProperties>
</file>